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Theme="majorEastAsia" w:hAnsiTheme="majorEastAsia" w:eastAsiaTheme="majorEastAsia" w:cstheme="majorEastAsia"/>
          <w:b w:val="0"/>
          <w:bCs w:val="0"/>
          <w:i w:val="0"/>
          <w:iCs w:val="0"/>
          <w:caps w:val="0"/>
          <w:color w:val="333333"/>
          <w:spacing w:val="0"/>
          <w:sz w:val="44"/>
          <w:szCs w:val="44"/>
          <w:lang w:val="en-US" w:eastAsia="zh-CN"/>
        </w:rPr>
      </w:pPr>
      <w:r>
        <w:rPr>
          <w:rFonts w:hint="eastAsia" w:asciiTheme="majorEastAsia" w:hAnsiTheme="majorEastAsia" w:eastAsiaTheme="majorEastAsia" w:cstheme="majorEastAsia"/>
          <w:b w:val="0"/>
          <w:bCs w:val="0"/>
          <w:i w:val="0"/>
          <w:iCs w:val="0"/>
          <w:caps w:val="0"/>
          <w:color w:val="333333"/>
          <w:spacing w:val="0"/>
          <w:sz w:val="44"/>
          <w:szCs w:val="44"/>
        </w:rPr>
        <w:t>关于委托第三方举办</w:t>
      </w:r>
      <w:r>
        <w:rPr>
          <w:rFonts w:hint="eastAsia" w:asciiTheme="majorEastAsia" w:hAnsiTheme="majorEastAsia" w:eastAsiaTheme="majorEastAsia" w:cstheme="majorEastAsia"/>
          <w:b w:val="0"/>
          <w:bCs w:val="0"/>
          <w:i w:val="0"/>
          <w:iCs w:val="0"/>
          <w:caps w:val="0"/>
          <w:color w:val="333333"/>
          <w:spacing w:val="0"/>
          <w:sz w:val="44"/>
          <w:szCs w:val="44"/>
          <w:lang w:val="en-US" w:eastAsia="zh-CN"/>
        </w:rPr>
        <w:t>海南省2024年常态化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Theme="majorEastAsia" w:hAnsiTheme="majorEastAsia" w:eastAsiaTheme="majorEastAsia" w:cstheme="majorEastAsia"/>
          <w:b w:val="0"/>
          <w:bCs w:val="0"/>
          <w:i w:val="0"/>
          <w:iCs w:val="0"/>
          <w:caps w:val="0"/>
          <w:color w:val="333333"/>
          <w:spacing w:val="0"/>
          <w:sz w:val="44"/>
          <w:szCs w:val="44"/>
        </w:rPr>
      </w:pPr>
      <w:r>
        <w:rPr>
          <w:rFonts w:hint="eastAsia" w:asciiTheme="majorEastAsia" w:hAnsiTheme="majorEastAsia" w:eastAsiaTheme="majorEastAsia" w:cstheme="majorEastAsia"/>
          <w:b w:val="0"/>
          <w:bCs w:val="0"/>
          <w:i w:val="0"/>
          <w:iCs w:val="0"/>
          <w:caps w:val="0"/>
          <w:color w:val="333333"/>
          <w:spacing w:val="0"/>
          <w:sz w:val="44"/>
          <w:szCs w:val="44"/>
          <w:lang w:val="en-US" w:eastAsia="zh-CN"/>
        </w:rPr>
        <w:t>国民体质监测技术培训班</w:t>
      </w:r>
      <w:r>
        <w:rPr>
          <w:rFonts w:hint="eastAsia" w:asciiTheme="majorEastAsia" w:hAnsiTheme="majorEastAsia" w:eastAsiaTheme="majorEastAsia" w:cstheme="majorEastAsia"/>
          <w:b w:val="0"/>
          <w:bCs w:val="0"/>
          <w:i w:val="0"/>
          <w:iCs w:val="0"/>
          <w:caps w:val="0"/>
          <w:color w:val="333333"/>
          <w:spacing w:val="0"/>
          <w:sz w:val="44"/>
          <w:szCs w:val="44"/>
        </w:rPr>
        <w:t>服务询价</w:t>
      </w:r>
      <w:r>
        <w:rPr>
          <w:rFonts w:hint="eastAsia" w:asciiTheme="majorEastAsia" w:hAnsiTheme="majorEastAsia" w:eastAsiaTheme="majorEastAsia" w:cstheme="majorEastAsia"/>
          <w:b w:val="0"/>
          <w:bCs w:val="0"/>
          <w:i w:val="0"/>
          <w:iCs w:val="0"/>
          <w:caps w:val="0"/>
          <w:color w:val="333333"/>
          <w:spacing w:val="0"/>
          <w:sz w:val="44"/>
          <w:szCs w:val="44"/>
          <w:lang w:val="en-US" w:eastAsia="zh-CN"/>
        </w:rPr>
        <w:t>的</w:t>
      </w:r>
      <w:r>
        <w:rPr>
          <w:rFonts w:hint="eastAsia" w:asciiTheme="majorEastAsia" w:hAnsiTheme="majorEastAsia" w:eastAsiaTheme="majorEastAsia" w:cstheme="majorEastAsia"/>
          <w:b w:val="0"/>
          <w:bCs w:val="0"/>
          <w:i w:val="0"/>
          <w:iCs w:val="0"/>
          <w:caps w:val="0"/>
          <w:color w:val="333333"/>
          <w:spacing w:val="0"/>
          <w:sz w:val="44"/>
          <w:szCs w:val="44"/>
        </w:rPr>
        <w:t>公告</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Theme="minorEastAsia" w:hAnsiTheme="minorEastAsia" w:eastAsiaTheme="minorEastAsia" w:cstheme="minorEastAsia"/>
          <w:i w:val="0"/>
          <w:iCs w:val="0"/>
          <w:caps w:val="0"/>
          <w:color w:val="333333"/>
          <w:spacing w:val="0"/>
          <w:sz w:val="32"/>
          <w:szCs w:val="32"/>
          <w:shd w:val="clear" w:fill="FFFFFF"/>
        </w:rPr>
      </w:pP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海南体育职业技术学院</w:t>
      </w:r>
      <w:r>
        <w:rPr>
          <w:rFonts w:hint="eastAsia" w:asciiTheme="minorEastAsia" w:hAnsiTheme="minorEastAsia" w:eastAsiaTheme="minorEastAsia" w:cstheme="minorEastAsia"/>
          <w:i w:val="0"/>
          <w:iCs w:val="0"/>
          <w:caps w:val="0"/>
          <w:color w:val="333333"/>
          <w:spacing w:val="0"/>
          <w:sz w:val="32"/>
          <w:szCs w:val="32"/>
          <w:shd w:val="clear" w:fill="FFFFFF"/>
        </w:rPr>
        <w:t>决定委托第三方机构举办</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海南省2024年常态化国民体质监测技术培训班</w:t>
      </w:r>
      <w:r>
        <w:rPr>
          <w:rFonts w:hint="eastAsia" w:asciiTheme="minorEastAsia" w:hAnsiTheme="minorEastAsia" w:eastAsiaTheme="minorEastAsia" w:cstheme="minorEastAsia"/>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i w:val="0"/>
          <w:iCs w:val="0"/>
          <w:caps w:val="0"/>
          <w:color w:val="333333"/>
          <w:spacing w:val="0"/>
          <w:sz w:val="32"/>
          <w:szCs w:val="32"/>
          <w:shd w:val="clear" w:fill="FFFFFF"/>
        </w:rPr>
        <w:t>现面向社会符合条件的第三方机构公开询价，</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相</w:t>
      </w:r>
      <w:r>
        <w:rPr>
          <w:rFonts w:hint="eastAsia" w:asciiTheme="minorEastAsia" w:hAnsiTheme="minorEastAsia" w:eastAsiaTheme="minorEastAsia" w:cstheme="minorEastAsia"/>
          <w:i w:val="0"/>
          <w:iCs w:val="0"/>
          <w:caps w:val="0"/>
          <w:color w:val="333333"/>
          <w:spacing w:val="0"/>
          <w:sz w:val="32"/>
          <w:szCs w:val="32"/>
          <w:shd w:val="clear" w:fill="FFFFFF"/>
        </w:rPr>
        <w:t>关事项说明如下：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Theme="minorEastAsia" w:hAnsiTheme="minorEastAsia" w:eastAsiaTheme="minorEastAsia" w:cstheme="minorEastAsia"/>
          <w:i w:val="0"/>
          <w:iCs w:val="0"/>
          <w:caps w:val="0"/>
          <w:color w:val="333333"/>
          <w:spacing w:val="0"/>
          <w:sz w:val="32"/>
          <w:szCs w:val="32"/>
          <w:lang w:eastAsia="zh-CN"/>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Theme="minorEastAsia" w:hAnsiTheme="minorEastAsia" w:eastAsiaTheme="minorEastAsia" w:cstheme="minorEastAsia"/>
          <w:b/>
          <w:bCs/>
          <w:i w:val="0"/>
          <w:iCs w:val="0"/>
          <w:caps w:val="0"/>
          <w:color w:val="333333"/>
          <w:spacing w:val="0"/>
          <w:sz w:val="32"/>
          <w:szCs w:val="32"/>
          <w:shd w:val="clear" w:fill="FFFFFF"/>
        </w:rPr>
        <w:t>　一、项目</w:t>
      </w:r>
      <w:r>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t>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海南省2024年常态化国民体质监测技术培训班</w:t>
      </w:r>
      <w:r>
        <w:rPr>
          <w:rFonts w:hint="eastAsia" w:asciiTheme="minorEastAsia" w:hAnsiTheme="minorEastAsia" w:eastAsiaTheme="minorEastAsia" w:cstheme="minorEastAsia"/>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Theme="minorEastAsia" w:hAnsiTheme="minorEastAsia" w:eastAsiaTheme="minorEastAsia" w:cstheme="minorEastAsia"/>
          <w:b/>
          <w:bCs/>
          <w:i w:val="0"/>
          <w:iCs w:val="0"/>
          <w:caps w:val="0"/>
          <w:color w:val="333333"/>
          <w:spacing w:val="0"/>
          <w:sz w:val="32"/>
          <w:szCs w:val="32"/>
          <w:shd w:val="clear" w:fill="FFFFFF"/>
        </w:rPr>
      </w:pPr>
      <w:r>
        <w:rPr>
          <w:rFonts w:hint="eastAsia" w:asciiTheme="minorEastAsia" w:hAnsiTheme="minorEastAsia" w:eastAsiaTheme="minorEastAsia" w:cstheme="minorEastAsia"/>
          <w:b/>
          <w:bCs/>
          <w:i w:val="0"/>
          <w:iCs w:val="0"/>
          <w:caps w:val="0"/>
          <w:color w:val="333333"/>
          <w:spacing w:val="0"/>
          <w:sz w:val="32"/>
          <w:szCs w:val="32"/>
          <w:shd w:val="clear" w:fill="FFFFFF"/>
        </w:rPr>
        <w:t>二、</w:t>
      </w:r>
      <w:r>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t>项目</w:t>
      </w:r>
      <w:r>
        <w:rPr>
          <w:rFonts w:hint="eastAsia" w:asciiTheme="minorEastAsia" w:hAnsiTheme="minorEastAsia" w:eastAsiaTheme="minorEastAsia" w:cstheme="minorEastAsia"/>
          <w:b/>
          <w:bCs/>
          <w:i w:val="0"/>
          <w:iCs w:val="0"/>
          <w:caps w:val="0"/>
          <w:color w:val="333333"/>
          <w:spacing w:val="0"/>
          <w:sz w:val="32"/>
          <w:szCs w:val="32"/>
          <w:shd w:val="clear" w:fill="FFFFFF"/>
        </w:rPr>
        <w:t>需求</w:t>
      </w:r>
    </w:p>
    <w:tbl>
      <w:tblPr>
        <w:tblStyle w:val="4"/>
        <w:tblW w:w="875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729"/>
        <w:gridCol w:w="1485"/>
        <w:gridCol w:w="1639"/>
        <w:gridCol w:w="49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序号</w:t>
            </w:r>
          </w:p>
        </w:tc>
        <w:tc>
          <w:tcPr>
            <w:tcW w:w="1485"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内容</w:t>
            </w:r>
          </w:p>
        </w:tc>
        <w:tc>
          <w:tcPr>
            <w:tcW w:w="1639"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明细</w:t>
            </w:r>
          </w:p>
        </w:tc>
        <w:tc>
          <w:tcPr>
            <w:tcW w:w="4900"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1</w:t>
            </w:r>
          </w:p>
        </w:tc>
        <w:tc>
          <w:tcPr>
            <w:tcW w:w="1485"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参加</w:t>
            </w:r>
            <w:r>
              <w:rPr>
                <w:rFonts w:hint="eastAsia" w:ascii="微软雅黑" w:hAnsi="微软雅黑" w:eastAsia="微软雅黑" w:cs="微软雅黑"/>
                <w:i w:val="0"/>
                <w:iCs w:val="0"/>
                <w:caps w:val="0"/>
                <w:color w:val="333333"/>
                <w:spacing w:val="0"/>
                <w:sz w:val="24"/>
                <w:szCs w:val="24"/>
              </w:rPr>
              <w:t>人数</w:t>
            </w:r>
          </w:p>
        </w:tc>
        <w:tc>
          <w:tcPr>
            <w:tcW w:w="1639"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预计79</w:t>
            </w:r>
            <w:r>
              <w:rPr>
                <w:rFonts w:hint="eastAsia" w:ascii="微软雅黑" w:hAnsi="微软雅黑" w:eastAsia="微软雅黑" w:cs="微软雅黑"/>
                <w:i w:val="0"/>
                <w:iCs w:val="0"/>
                <w:caps w:val="0"/>
                <w:color w:val="333333"/>
                <w:spacing w:val="0"/>
                <w:sz w:val="24"/>
                <w:szCs w:val="24"/>
              </w:rPr>
              <w:t>人</w:t>
            </w:r>
          </w:p>
        </w:tc>
        <w:tc>
          <w:tcPr>
            <w:tcW w:w="4900"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需要提供3天食宿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2</w:t>
            </w:r>
          </w:p>
        </w:tc>
        <w:tc>
          <w:tcPr>
            <w:tcW w:w="1485"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rPr>
              <w:t>会议室</w:t>
            </w:r>
          </w:p>
        </w:tc>
        <w:tc>
          <w:tcPr>
            <w:tcW w:w="1639"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sz w:val="24"/>
                <w:szCs w:val="24"/>
                <w:lang w:val="en-US" w:eastAsia="zh-CN"/>
              </w:rPr>
              <w:t>200平米以上</w:t>
            </w:r>
          </w:p>
        </w:tc>
        <w:tc>
          <w:tcPr>
            <w:tcW w:w="4900"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能进行授课及实操培训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3</w:t>
            </w:r>
          </w:p>
        </w:tc>
        <w:tc>
          <w:tcPr>
            <w:tcW w:w="1485"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rPr>
              <w:t>聘请讲师</w:t>
            </w:r>
          </w:p>
        </w:tc>
        <w:tc>
          <w:tcPr>
            <w:tcW w:w="1639"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4人及以上</w:t>
            </w:r>
          </w:p>
        </w:tc>
        <w:tc>
          <w:tcPr>
            <w:tcW w:w="4900"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聘请具有行业经验的资深专家进行授课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4</w:t>
            </w:r>
          </w:p>
        </w:tc>
        <w:tc>
          <w:tcPr>
            <w:tcW w:w="1485"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rPr>
              <w:t>讲师交通费</w:t>
            </w:r>
          </w:p>
        </w:tc>
        <w:tc>
          <w:tcPr>
            <w:tcW w:w="1639"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4人及以上</w:t>
            </w:r>
          </w:p>
        </w:tc>
        <w:tc>
          <w:tcPr>
            <w:tcW w:w="4900"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往返交通费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5</w:t>
            </w:r>
          </w:p>
        </w:tc>
        <w:tc>
          <w:tcPr>
            <w:tcW w:w="1485"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讲师劳务费</w:t>
            </w:r>
          </w:p>
        </w:tc>
        <w:tc>
          <w:tcPr>
            <w:tcW w:w="1639"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4人及以上</w:t>
            </w:r>
          </w:p>
        </w:tc>
        <w:tc>
          <w:tcPr>
            <w:tcW w:w="4900" w:type="dxa"/>
            <w:tcBorders>
              <w:top w:val="single" w:color="000000" w:sz="6" w:space="0"/>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每学时副高不超500元，正高不超1000元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9" w:type="dxa"/>
            <w:tcBorders>
              <w:top w:val="nil"/>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6</w:t>
            </w:r>
          </w:p>
        </w:tc>
        <w:tc>
          <w:tcPr>
            <w:tcW w:w="1485"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会议资料</w:t>
            </w:r>
          </w:p>
        </w:tc>
        <w:tc>
          <w:tcPr>
            <w:tcW w:w="1639"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default"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80</w:t>
            </w:r>
            <w:r>
              <w:rPr>
                <w:rFonts w:hint="eastAsia" w:ascii="微软雅黑" w:hAnsi="微软雅黑" w:eastAsia="微软雅黑" w:cs="微软雅黑"/>
                <w:i w:val="0"/>
                <w:iCs w:val="0"/>
                <w:caps w:val="0"/>
                <w:color w:val="333333"/>
                <w:spacing w:val="0"/>
                <w:sz w:val="24"/>
                <w:szCs w:val="24"/>
              </w:rPr>
              <w:t>本</w:t>
            </w:r>
          </w:p>
        </w:tc>
        <w:tc>
          <w:tcPr>
            <w:tcW w:w="4900"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宣传手册、工作手册等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9" w:type="dxa"/>
            <w:tcBorders>
              <w:top w:val="nil"/>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7</w:t>
            </w:r>
          </w:p>
        </w:tc>
        <w:tc>
          <w:tcPr>
            <w:tcW w:w="1485"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组织考核</w:t>
            </w:r>
          </w:p>
        </w:tc>
        <w:tc>
          <w:tcPr>
            <w:tcW w:w="1639"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1场</w:t>
            </w:r>
          </w:p>
        </w:tc>
        <w:tc>
          <w:tcPr>
            <w:tcW w:w="4900"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笔试和实操考核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9" w:type="dxa"/>
            <w:tcBorders>
              <w:top w:val="nil"/>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8</w:t>
            </w:r>
          </w:p>
        </w:tc>
        <w:tc>
          <w:tcPr>
            <w:tcW w:w="1485"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default"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培训器材</w:t>
            </w:r>
          </w:p>
        </w:tc>
        <w:tc>
          <w:tcPr>
            <w:tcW w:w="1639"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1套</w:t>
            </w:r>
          </w:p>
        </w:tc>
        <w:tc>
          <w:tcPr>
            <w:tcW w:w="4900"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能提供符合要求的培训器材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9" w:type="dxa"/>
            <w:tcBorders>
              <w:top w:val="nil"/>
              <w:left w:val="single" w:color="000000" w:sz="6" w:space="0"/>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485"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其他物品</w:t>
            </w:r>
          </w:p>
        </w:tc>
        <w:tc>
          <w:tcPr>
            <w:tcW w:w="1639"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满足需求</w:t>
            </w:r>
          </w:p>
        </w:tc>
        <w:tc>
          <w:tcPr>
            <w:tcW w:w="4900" w:type="dxa"/>
            <w:tcBorders>
              <w:top w:val="nil"/>
              <w:left w:val="nil"/>
              <w:bottom w:val="single" w:color="000000" w:sz="6" w:space="0"/>
              <w:right w:val="single" w:color="000000" w:sz="6" w:space="0"/>
            </w:tcBorders>
            <w:shd w:val="clear" w:color="auto" w:fill="FFFFFF"/>
            <w:tcMar>
              <w:top w:w="0" w:type="dxa"/>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矿泉水、笔本、结业证、宣传物品等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pPr>
      <w:r>
        <w:rPr>
          <w:rFonts w:hint="eastAsia" w:asciiTheme="minorEastAsia" w:hAnsiTheme="minorEastAsia" w:cstheme="minorEastAsia"/>
          <w:b/>
          <w:bCs/>
          <w:i w:val="0"/>
          <w:iCs w:val="0"/>
          <w:caps w:val="0"/>
          <w:color w:val="333333"/>
          <w:spacing w:val="0"/>
          <w:sz w:val="32"/>
          <w:szCs w:val="32"/>
          <w:shd w:val="clear" w:fill="FFFFFF"/>
          <w:lang w:val="en-US" w:eastAsia="zh-CN"/>
        </w:rPr>
        <w:t>三、</w:t>
      </w:r>
      <w:r>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t>内容及要求</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（一）项目工作内容</w:t>
      </w:r>
    </w:p>
    <w:p>
      <w:pPr>
        <w:spacing w:line="580" w:lineRule="exact"/>
        <w:ind w:firstLine="640" w:firstLineChars="200"/>
        <w:rPr>
          <w:rFonts w:hint="default" w:ascii="仿宋" w:eastAsia="仿宋" w:cs="仿宋"/>
          <w:sz w:val="32"/>
          <w:szCs w:val="32"/>
          <w:lang w:val="en-US" w:eastAsia="zh-CN"/>
        </w:rPr>
      </w:pPr>
      <w:r>
        <w:rPr>
          <w:rFonts w:hint="eastAsia" w:ascii="仿宋" w:eastAsia="仿宋" w:cs="仿宋"/>
          <w:sz w:val="32"/>
          <w:szCs w:val="32"/>
          <w:lang w:val="en-US" w:eastAsia="zh-CN"/>
        </w:rPr>
        <w:t>在2024年7月举办海南省2024年常态化国民体质监测技术培训班，时间为三天两晚，地点为海南省内，培训形式以专题讲座、现场教学、行业交流、实操演练等形式为主。</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（二）培训课程</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（1）2024年工作部署；</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（2）2024年国民体质监测工作方案解读</w:t>
      </w:r>
      <w:r>
        <w:rPr>
          <w:rFonts w:hint="eastAsia" w:ascii="仿宋" w:eastAsia="仿宋" w:cs="仿宋"/>
          <w:sz w:val="32"/>
          <w:szCs w:val="32"/>
          <w:lang w:val="en-US" w:eastAsia="zh"/>
        </w:rPr>
        <w:t>、</w:t>
      </w:r>
      <w:r>
        <w:rPr>
          <w:rFonts w:hint="eastAsia" w:ascii="仿宋" w:eastAsia="仿宋" w:cs="仿宋"/>
          <w:sz w:val="32"/>
          <w:szCs w:val="32"/>
          <w:lang w:val="en-US" w:eastAsia="zh-CN"/>
        </w:rPr>
        <w:t>国民体质监测工作标准化流程、器材使用方法</w:t>
      </w:r>
      <w:r>
        <w:rPr>
          <w:rFonts w:hint="eastAsia" w:ascii="仿宋" w:eastAsia="仿宋" w:cs="仿宋"/>
          <w:sz w:val="32"/>
          <w:szCs w:val="32"/>
          <w:lang w:val="en-US" w:eastAsia="zh"/>
        </w:rPr>
        <w:t>、</w:t>
      </w:r>
      <w:r>
        <w:rPr>
          <w:rFonts w:hint="eastAsia" w:ascii="仿宋" w:eastAsia="仿宋" w:cs="仿宋"/>
          <w:sz w:val="32"/>
          <w:szCs w:val="32"/>
          <w:lang w:val="en-US" w:eastAsia="zh-CN"/>
        </w:rPr>
        <w:t>指标测试方法</w:t>
      </w:r>
      <w:r>
        <w:rPr>
          <w:rFonts w:hint="eastAsia" w:ascii="仿宋" w:eastAsia="仿宋" w:cs="仿宋"/>
          <w:sz w:val="32"/>
          <w:szCs w:val="32"/>
          <w:lang w:val="en-US" w:eastAsia="zh"/>
        </w:rPr>
        <w:t>和</w:t>
      </w:r>
      <w:r>
        <w:rPr>
          <w:rFonts w:hint="eastAsia" w:ascii="仿宋" w:eastAsia="仿宋" w:cs="仿宋"/>
          <w:sz w:val="32"/>
          <w:szCs w:val="32"/>
          <w:lang w:val="en-US" w:eastAsia="zh-CN"/>
        </w:rPr>
        <w:t>数据采集系统使用等；</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（3）科学健身知识讲座和急救知识讲座；</w:t>
      </w:r>
    </w:p>
    <w:p>
      <w:pPr>
        <w:spacing w:line="580" w:lineRule="exact"/>
        <w:ind w:left="0" w:firstLine="640" w:firstLineChars="200"/>
        <w:rPr>
          <w:rFonts w:hint="default" w:ascii="仿宋" w:eastAsia="仿宋" w:cs="仿宋"/>
          <w:sz w:val="32"/>
          <w:szCs w:val="32"/>
          <w:lang w:val="en-US" w:eastAsia="zh-CN"/>
        </w:rPr>
      </w:pPr>
      <w:r>
        <w:rPr>
          <w:rFonts w:hint="eastAsia" w:ascii="仿宋" w:eastAsia="仿宋" w:cs="仿宋"/>
          <w:sz w:val="32"/>
          <w:szCs w:val="32"/>
          <w:lang w:val="en-US" w:eastAsia="zh-CN"/>
        </w:rPr>
        <w:t>（4）理论及实操考核；</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（5）培训总结及颁证。</w:t>
      </w:r>
    </w:p>
    <w:p>
      <w:pPr>
        <w:spacing w:line="580" w:lineRule="exact"/>
        <w:ind w:firstLine="640" w:firstLineChars="200"/>
        <w:jc w:val="left"/>
        <w:rPr>
          <w:rFonts w:hint="eastAsia" w:ascii="仿宋" w:eastAsia="仿宋" w:cs="仿宋"/>
          <w:sz w:val="32"/>
          <w:szCs w:val="32"/>
          <w:lang w:val="en-US" w:eastAsia="zh-CN"/>
        </w:rPr>
      </w:pPr>
      <w:r>
        <w:rPr>
          <w:rFonts w:hint="eastAsia" w:ascii="仿宋" w:eastAsia="仿宋" w:cs="仿宋"/>
          <w:sz w:val="32"/>
          <w:szCs w:val="32"/>
          <w:lang w:val="en-US" w:eastAsia="zh-CN"/>
        </w:rPr>
        <w:t>（三）学员住宿为两人一间，标准间，用餐为自助餐。其中住宿费不超过340元/天/人，伙食费不超过130元/天/人，场地、资料、交通费不超过50元/天/人，其他费用不超过30元/天/人，以上合计不超过550元/天/人。</w:t>
      </w:r>
    </w:p>
    <w:p>
      <w:pPr>
        <w:spacing w:line="580" w:lineRule="exact"/>
        <w:ind w:firstLine="640" w:firstLineChars="200"/>
        <w:jc w:val="left"/>
        <w:rPr>
          <w:rFonts w:hint="eastAsia" w:ascii="仿宋" w:eastAsia="宋体" w:cs="仿宋"/>
          <w:sz w:val="32"/>
          <w:szCs w:val="32"/>
          <w:lang w:val="en-US" w:eastAsia="zh-CN"/>
        </w:rPr>
      </w:pPr>
      <w:r>
        <w:rPr>
          <w:rFonts w:hint="eastAsia" w:ascii="仿宋" w:eastAsia="仿宋" w:cs="仿宋"/>
          <w:sz w:val="32"/>
          <w:szCs w:val="32"/>
          <w:lang w:val="en-US" w:eastAsia="zh-CN"/>
        </w:rPr>
        <w:t>（四）培训期间至少邀请4名讲师授课，讲师须为行业权威人士或资深专家学者。</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（五）培训费用包括：培训师资授课费、师资食宿费、师资交通费、学员食宿费、会议室租赁费、税费、器材邮寄费等在培训期间所产生的全部费用。</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（六）质量保证要求：教学保障、伙食保障、安全保障要达到双方合同约定要求，制定突发事件应急工作预案。</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（七）合同履行期限：自合同生效之日起至培训结束。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3" w:firstLineChars="200"/>
        <w:jc w:val="left"/>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pPr>
      <w:r>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t>四、报价文件格式及相关要求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eastAsia="仿宋" w:cs="仿宋"/>
          <w:sz w:val="32"/>
          <w:szCs w:val="32"/>
          <w:lang w:val="en-US" w:eastAsia="zh-CN"/>
        </w:rPr>
      </w:pPr>
      <w:r>
        <w:rPr>
          <w:rFonts w:hint="eastAsia" w:ascii="仿宋" w:eastAsia="仿宋" w:cs="仿宋"/>
          <w:sz w:val="32"/>
          <w:szCs w:val="32"/>
          <w:lang w:val="en-US" w:eastAsia="zh-CN"/>
        </w:rPr>
        <w:t>（一）报价文件包含：</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（1）报价表；</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（2）报价企业营业执照（组织机构代码）副本复印件；</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（3）培训方案，包含培训内容、培训安排及教师、培训地点及经费预算、突发事件应急预案；</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（4）报价人认为需要的其他资料，每页需加盖报价人单位公章。</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（二）报价为一次性报价，报价包含培训中所有涉及内容所需的全部费用，采购人无需再支付任何费用。</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（三）由于报价材料不完整、不清楚或存在其他任何失误，所导致的任何不利后果均由投标人自行承担。</w:t>
      </w:r>
    </w:p>
    <w:p>
      <w:pPr>
        <w:spacing w:line="580" w:lineRule="exact"/>
        <w:ind w:left="638" w:leftChars="304" w:firstLine="0" w:firstLineChars="0"/>
        <w:rPr>
          <w:rFonts w:hint="eastAsia" w:ascii="仿宋" w:eastAsia="仿宋" w:cs="仿宋"/>
          <w:sz w:val="32"/>
          <w:szCs w:val="32"/>
          <w:lang w:val="en-US" w:eastAsia="zh-CN"/>
        </w:rPr>
      </w:pPr>
      <w:r>
        <w:rPr>
          <w:rFonts w:hint="eastAsia" w:asciiTheme="minorEastAsia" w:hAnsiTheme="minorEastAsia" w:eastAsiaTheme="minorEastAsia" w:cstheme="minorEastAsia"/>
          <w:b/>
          <w:bCs/>
          <w:i w:val="0"/>
          <w:iCs w:val="0"/>
          <w:caps w:val="0"/>
          <w:color w:val="333333"/>
          <w:spacing w:val="0"/>
          <w:kern w:val="0"/>
          <w:sz w:val="32"/>
          <w:szCs w:val="32"/>
          <w:shd w:val="clear" w:fill="FFFFFF"/>
          <w:lang w:val="en-US" w:eastAsia="zh-CN" w:bidi="ar"/>
        </w:rPr>
        <w:t>五、服务供应商应具备的条件</w:t>
      </w:r>
      <w:r>
        <w:rPr>
          <w:rFonts w:hint="eastAsia" w:ascii="仿宋" w:eastAsia="仿宋" w:cs="仿宋"/>
          <w:sz w:val="32"/>
          <w:szCs w:val="32"/>
          <w:lang w:val="en-US" w:eastAsia="zh-CN"/>
        </w:rPr>
        <w:br w:type="textWrapping"/>
      </w:r>
      <w:r>
        <w:rPr>
          <w:rFonts w:hint="eastAsia" w:ascii="仿宋" w:eastAsia="仿宋" w:cs="仿宋"/>
          <w:sz w:val="32"/>
          <w:szCs w:val="32"/>
          <w:lang w:val="en-US" w:eastAsia="zh-CN"/>
        </w:rPr>
        <w:t>1.满足《中华人民共和国政府采购法》第二十二条规定；</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2.本项目的特定资格要求：</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2.1.具有独立承担民事责任能力的在中华人民共和国境内注册的法人，须提供加载“统一社会信用代码”的有效营业执照（复印件加盖公章）；</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2.2.具有良好的商业信誉和健全的财务会计制度【须提承诺函并加盖公章（格式自拟）】；</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2.3.具有依法缴纳税收和社会保障资金的良好记录【须提承诺函并加盖公章（格式自拟）】；</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2.4.具有履行合同所必需的设备和能力【提供声明函加盖本单位公章】；</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2.5.供应商需提供参加政府采购活动前三年内，在经营活动中没有重大违法记录的声明（成立不足三年的从成立之日起算）【提供声明函加盖本单位公章】；</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2.6.供应商在“中国执行信息公开网”网站（http://zxgk.court.gov.cn/shixin/）没有被列入失信被执行人、“信用中国”网站（www.creditchina.gov.cn）、没有被列入重大税收违法失信主体名单、政府采购严重违法失信名单和没有被列入“中国政府采购网”（www.ccgp.gov.cn）政府采购严重违法失信行为信息记录名单【须提承诺函并加盖公章（格式自拟）】；</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2.7.供应商负责人为同一人或者存在直接控股、管理关系的不同供应商，不得参加同一合同项下的政府采购活动【提供声明函及“国家企业信用信息公示系统”法人、股东等高管人员相关资料截图】</w:t>
      </w:r>
    </w:p>
    <w:p>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2.8.本项目不接受联合报价。</w:t>
      </w:r>
    </w:p>
    <w:p>
      <w:pPr>
        <w:spacing w:line="580" w:lineRule="exact"/>
        <w:ind w:left="638" w:leftChars="304" w:firstLine="0" w:firstLineChars="0"/>
        <w:rPr>
          <w:rFonts w:hint="default" w:asciiTheme="minorEastAsia" w:hAnsiTheme="minorEastAsia" w:eastAsiaTheme="minorEastAsia" w:cstheme="minorEastAsia"/>
          <w:b/>
          <w:bCs/>
          <w:i w:val="0"/>
          <w:iCs w:val="0"/>
          <w:caps w:val="0"/>
          <w:color w:val="333333"/>
          <w:spacing w:val="0"/>
          <w:kern w:val="0"/>
          <w:sz w:val="32"/>
          <w:szCs w:val="32"/>
          <w:shd w:val="clear" w:fill="FFFFFF"/>
          <w:lang w:val="en-US" w:eastAsia="zh-CN" w:bidi="ar"/>
        </w:rPr>
      </w:pPr>
      <w:r>
        <w:rPr>
          <w:rFonts w:hint="eastAsia" w:asciiTheme="minorEastAsia" w:hAnsiTheme="minorEastAsia" w:eastAsiaTheme="minorEastAsia" w:cstheme="minorEastAsia"/>
          <w:b/>
          <w:bCs/>
          <w:i w:val="0"/>
          <w:iCs w:val="0"/>
          <w:caps w:val="0"/>
          <w:color w:val="333333"/>
          <w:spacing w:val="0"/>
          <w:kern w:val="0"/>
          <w:sz w:val="32"/>
          <w:szCs w:val="32"/>
          <w:shd w:val="clear" w:fill="FFFFFF"/>
          <w:lang w:val="en-US" w:eastAsia="zh-CN" w:bidi="ar"/>
        </w:rPr>
        <w:t>六、报价文件的提交及付款方式</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（一）请有意向的公司提交报价,相关报价材料请于6月25日前发送至邮箱：372231226＠qq.com。未在公示截止时间内递交报价材料的或递交了报价材料但未提供明确证明材料的，将视其为无效，无法满足采购需求。</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（二）本项目</w:t>
      </w:r>
      <w:r>
        <w:rPr>
          <w:rFonts w:hint="eastAsia" w:ascii="仿宋" w:hAnsi="Calibri" w:eastAsia="仿宋" w:cs="Times New Roman"/>
          <w:sz w:val="32"/>
          <w:szCs w:val="32"/>
          <w:lang w:val="en-US" w:eastAsia="zh-CN"/>
        </w:rPr>
        <w:t>在培训班顺利完成后再支付</w:t>
      </w:r>
      <w:bookmarkStart w:id="0" w:name="_GoBack"/>
      <w:bookmarkEnd w:id="0"/>
      <w:r>
        <w:rPr>
          <w:rFonts w:hint="eastAsia" w:ascii="仿宋" w:hAnsi="Calibri" w:eastAsia="仿宋" w:cs="Times New Roman"/>
          <w:sz w:val="32"/>
          <w:szCs w:val="32"/>
          <w:lang w:val="en-US" w:eastAsia="zh-CN"/>
        </w:rPr>
        <w:t>项目费用</w:t>
      </w:r>
      <w:r>
        <w:rPr>
          <w:rFonts w:hint="eastAsia" w:ascii="仿宋" w:eastAsia="仿宋" w:cs="Times New Roman"/>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pP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OGRjNWQzM2RkMTlkNmI3ODFmMGU1YzczZTAzMDIifQ=="/>
  </w:docVars>
  <w:rsids>
    <w:rsidRoot w:val="00000000"/>
    <w:rsid w:val="01AA53CD"/>
    <w:rsid w:val="0F487781"/>
    <w:rsid w:val="11E47F36"/>
    <w:rsid w:val="156457BC"/>
    <w:rsid w:val="214B02AC"/>
    <w:rsid w:val="28881078"/>
    <w:rsid w:val="2E114AFB"/>
    <w:rsid w:val="3023097F"/>
    <w:rsid w:val="38691D53"/>
    <w:rsid w:val="3A202E5A"/>
    <w:rsid w:val="3FF06E06"/>
    <w:rsid w:val="432F59B3"/>
    <w:rsid w:val="4DFD495A"/>
    <w:rsid w:val="62F114A6"/>
    <w:rsid w:val="6A68794A"/>
    <w:rsid w:val="7A1F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1689</Words>
  <Characters>1833</Characters>
  <Lines>0</Lines>
  <Paragraphs>0</Paragraphs>
  <TotalTime>14</TotalTime>
  <ScaleCrop>false</ScaleCrop>
  <LinksUpToDate>false</LinksUpToDate>
  <CharactersWithSpaces>1839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dc:creator>
  <cp:lastModifiedBy>Xu_Jian</cp:lastModifiedBy>
  <dcterms:modified xsi:type="dcterms:W3CDTF">2024-06-20T01:04:57Z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5C0F5C0FF5234F60A9371073EC8A0F34_12</vt:lpwstr>
  </property>
</Properties>
</file>